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632" w:rsidRPr="00DF3F55" w:rsidRDefault="00751632" w:rsidP="00FE4635">
      <w:pPr>
        <w:jc w:val="center"/>
        <w:rPr>
          <w:b/>
          <w:sz w:val="32"/>
          <w:szCs w:val="32"/>
        </w:rPr>
      </w:pPr>
      <w:r w:rsidRPr="00DF3F55">
        <w:rPr>
          <w:b/>
          <w:sz w:val="32"/>
          <w:szCs w:val="32"/>
        </w:rPr>
        <w:t>L’apport du fonds de commerce à une société</w:t>
      </w:r>
    </w:p>
    <w:p w:rsidR="00751632" w:rsidRPr="00A33178" w:rsidRDefault="00751632" w:rsidP="00751632">
      <w:pPr>
        <w:ind w:left="60"/>
        <w:jc w:val="both"/>
        <w:rPr>
          <w:rFonts w:ascii="Comic Sans MS" w:hAnsi="Comic Sans MS"/>
          <w:sz w:val="20"/>
          <w:szCs w:val="20"/>
        </w:rPr>
      </w:pPr>
    </w:p>
    <w:p w:rsidR="00DF3F55" w:rsidRDefault="006D3F3D" w:rsidP="006D3F3D">
      <w:pPr>
        <w:pStyle w:val="Sansinterligne"/>
        <w:jc w:val="both"/>
      </w:pPr>
      <w:r>
        <w:t>Un</w:t>
      </w:r>
      <w:r w:rsidR="00751632" w:rsidRPr="00DF3F55">
        <w:t xml:space="preserve"> commerçant peut apporter son fonds de commerce à une société </w:t>
      </w:r>
      <w:r>
        <w:t>pour l’exploiter</w:t>
      </w:r>
      <w:r w:rsidR="00751632" w:rsidRPr="00DF3F55">
        <w:t xml:space="preserve"> </w:t>
      </w:r>
      <w:r w:rsidR="00614454">
        <w:t xml:space="preserve">ou pour </w:t>
      </w:r>
      <w:r w:rsidR="00751632" w:rsidRPr="00DF3F55">
        <w:t xml:space="preserve">développer </w:t>
      </w:r>
      <w:r w:rsidR="00614454">
        <w:t xml:space="preserve">son </w:t>
      </w:r>
      <w:r w:rsidR="00751632" w:rsidRPr="00DF3F55">
        <w:t xml:space="preserve">activité. </w:t>
      </w:r>
      <w:r w:rsidR="00614454">
        <w:t xml:space="preserve">Cet objectif peut être poursuivi par le propriétaire du fonds de commerce qui entend promouvoir son activité avec </w:t>
      </w:r>
      <w:r w:rsidR="00751632" w:rsidRPr="00DF3F55">
        <w:t>d’autres personnes avec lesquelles il va s’associer</w:t>
      </w:r>
      <w:r w:rsidR="00614454">
        <w:t xml:space="preserve"> (volonté de partager les bénéfices et de supporter les pertes en commun)</w:t>
      </w:r>
      <w:r w:rsidR="00751632" w:rsidRPr="00DF3F55">
        <w:t xml:space="preserve">. </w:t>
      </w:r>
    </w:p>
    <w:p w:rsidR="00C262A2" w:rsidRDefault="00C262A2" w:rsidP="006D3F3D">
      <w:pPr>
        <w:pStyle w:val="Sansinterligne"/>
        <w:jc w:val="both"/>
      </w:pPr>
    </w:p>
    <w:p w:rsidR="00614454" w:rsidRPr="00B8610D" w:rsidRDefault="00614454" w:rsidP="00B8610D">
      <w:pPr>
        <w:pStyle w:val="Sansinterligne"/>
        <w:jc w:val="both"/>
      </w:pPr>
      <w:r>
        <w:t xml:space="preserve">Il s’agit de la </w:t>
      </w:r>
      <w:r w:rsidR="00C262A2" w:rsidRPr="00DF3F55">
        <w:rPr>
          <w:rFonts w:eastAsiaTheme="minorHAnsi"/>
          <w:lang w:eastAsia="en-US"/>
        </w:rPr>
        <w:t xml:space="preserve">transformation d’une structure individuelle en une structure sociale </w:t>
      </w:r>
      <w:r>
        <w:rPr>
          <w:rFonts w:eastAsiaTheme="minorHAnsi"/>
          <w:lang w:eastAsia="en-US"/>
        </w:rPr>
        <w:t>basée sur des motifs de droit ou d’ordre pécuniaire</w:t>
      </w:r>
      <w:r w:rsidR="00C262A2" w:rsidRPr="00DF3F55">
        <w:rPr>
          <w:rFonts w:eastAsiaTheme="minorHAnsi"/>
          <w:lang w:eastAsia="en-US"/>
        </w:rPr>
        <w:t xml:space="preserve"> :</w:t>
      </w:r>
      <w:r>
        <w:rPr>
          <w:rFonts w:eastAsiaTheme="minorHAnsi"/>
          <w:lang w:eastAsia="en-US"/>
        </w:rPr>
        <w:t xml:space="preserve"> bénéficier de la limitation de responsabilité en séparant son patrimoine personnel de celui de la structure sociétale, ou </w:t>
      </w:r>
      <w:r w:rsidR="00B8610D">
        <w:rPr>
          <w:rFonts w:eastAsiaTheme="minorHAnsi"/>
          <w:lang w:eastAsia="en-US"/>
        </w:rPr>
        <w:t>le recours à des moyens de financement extérieurs (capitaux de la société).</w:t>
      </w:r>
      <w:r w:rsidR="00B8610D">
        <w:rPr>
          <w:rFonts w:eastAsiaTheme="minorHAnsi"/>
          <w:lang w:eastAsia="en-US"/>
        </w:rPr>
        <w:tab/>
      </w:r>
    </w:p>
    <w:p w:rsidR="00C262A2" w:rsidRDefault="00C262A2" w:rsidP="00DF3F55">
      <w:pPr>
        <w:pStyle w:val="Sansinterligne"/>
      </w:pPr>
    </w:p>
    <w:p w:rsidR="00C262A2" w:rsidRDefault="00C262A2" w:rsidP="00C262A2">
      <w:pPr>
        <w:pStyle w:val="Sansinterligne"/>
        <w:jc w:val="center"/>
      </w:pPr>
      <w:r>
        <w:t>DEFINITION</w:t>
      </w:r>
    </w:p>
    <w:p w:rsidR="00DF3F55" w:rsidRDefault="00DF3F55" w:rsidP="00DF3F55">
      <w:pPr>
        <w:pStyle w:val="Sansinterligne"/>
      </w:pPr>
    </w:p>
    <w:p w:rsidR="00DF3F55" w:rsidRPr="00DF3F55" w:rsidRDefault="00B8610D" w:rsidP="00DF3F55">
      <w:pPr>
        <w:pStyle w:val="Sansinterligne"/>
      </w:pPr>
      <w:r>
        <w:t>L’apport en société d’un fonds de commerce</w:t>
      </w:r>
      <w:r w:rsidR="00DF3F55" w:rsidRPr="00DF3F55">
        <w:t xml:space="preserve"> </w:t>
      </w:r>
      <w:r>
        <w:t>est</w:t>
      </w:r>
      <w:r w:rsidR="00DF3F55" w:rsidRPr="00DF3F55">
        <w:t xml:space="preserve"> </w:t>
      </w:r>
      <w:r>
        <w:t>un montage</w:t>
      </w:r>
      <w:r w:rsidR="00DF3F55" w:rsidRPr="00DF3F55">
        <w:t xml:space="preserve"> juridique </w:t>
      </w:r>
      <w:r>
        <w:t>consistant à</w:t>
      </w:r>
      <w:r w:rsidR="00DF3F55" w:rsidRPr="00DF3F55">
        <w:t xml:space="preserve"> </w:t>
      </w:r>
      <w:r>
        <w:t xml:space="preserve">mettre en société </w:t>
      </w:r>
      <w:r w:rsidR="00DF3F55" w:rsidRPr="00DF3F55">
        <w:t xml:space="preserve">une entreprise exploitée en nom personnel. </w:t>
      </w:r>
    </w:p>
    <w:p w:rsidR="00B8610D" w:rsidRDefault="00B8610D" w:rsidP="00DF3F55">
      <w:pPr>
        <w:pStyle w:val="Sansinterligne"/>
      </w:pPr>
    </w:p>
    <w:p w:rsidR="00DF3F55" w:rsidRPr="00DF3F55" w:rsidRDefault="00B8610D" w:rsidP="008A206F">
      <w:pPr>
        <w:pStyle w:val="Sansinterligne"/>
        <w:jc w:val="both"/>
      </w:pPr>
      <w:r>
        <w:t xml:space="preserve">L’apport est une transmission de la propriété </w:t>
      </w:r>
      <w:r w:rsidR="00DF3F55" w:rsidRPr="00DF3F55">
        <w:t>du fonds à titre onéreux</w:t>
      </w:r>
      <w:r w:rsidR="008A206F">
        <w:t xml:space="preserve"> se différenciant du contrat de vente du fonds par</w:t>
      </w:r>
      <w:r w:rsidR="00DF3F55" w:rsidRPr="00DF3F55">
        <w:t xml:space="preserve"> </w:t>
      </w:r>
      <w:r w:rsidR="008A206F">
        <w:t>le</w:t>
      </w:r>
      <w:r w:rsidR="00DF3F55" w:rsidRPr="00DF3F55">
        <w:t xml:space="preserve"> mode de rémunération. La vente suppose </w:t>
      </w:r>
      <w:r w:rsidR="008A206F">
        <w:t xml:space="preserve">le </w:t>
      </w:r>
      <w:r w:rsidR="00DF3F55" w:rsidRPr="00DF3F55">
        <w:t>paiement d’un prix en contrepa</w:t>
      </w:r>
      <w:r w:rsidR="008A206F">
        <w:t>rtie du transfert de propriété, tandis que dans l’apport en société la contrepartie se fait par l’attribution de droits sociaux.</w:t>
      </w:r>
      <w:r w:rsidR="00DF3F55" w:rsidRPr="00DF3F55">
        <w:t> </w:t>
      </w:r>
    </w:p>
    <w:p w:rsidR="00DF3F55" w:rsidRDefault="00DF3F55" w:rsidP="00DF3F55">
      <w:pPr>
        <w:pStyle w:val="Sansinterligne"/>
      </w:pPr>
    </w:p>
    <w:p w:rsidR="00DF3F55" w:rsidRPr="00DF3F55" w:rsidRDefault="00DF3F55" w:rsidP="004B7EDA">
      <w:pPr>
        <w:pStyle w:val="Sansinterligne"/>
        <w:jc w:val="both"/>
        <w:rPr>
          <w:rFonts w:eastAsiaTheme="minorHAnsi"/>
          <w:lang w:eastAsia="en-US"/>
        </w:rPr>
      </w:pPr>
      <w:r w:rsidRPr="00DF3F55">
        <w:rPr>
          <w:rFonts w:eastAsiaTheme="minorHAnsi"/>
          <w:lang w:eastAsia="en-US"/>
        </w:rPr>
        <w:t xml:space="preserve">Un fonds de commerce </w:t>
      </w:r>
      <w:r w:rsidR="00D32F84">
        <w:rPr>
          <w:rFonts w:eastAsiaTheme="minorHAnsi"/>
          <w:lang w:eastAsia="en-US"/>
        </w:rPr>
        <w:t>est</w:t>
      </w:r>
      <w:r w:rsidRPr="00DF3F55">
        <w:rPr>
          <w:rFonts w:eastAsiaTheme="minorHAnsi"/>
          <w:lang w:eastAsia="en-US"/>
        </w:rPr>
        <w:t xml:space="preserve"> apporté à une société en contrepartie </w:t>
      </w:r>
      <w:r w:rsidR="00D32F84">
        <w:rPr>
          <w:rFonts w:eastAsiaTheme="minorHAnsi"/>
          <w:lang w:eastAsia="en-US"/>
        </w:rPr>
        <w:t>de</w:t>
      </w:r>
      <w:r w:rsidRPr="00DF3F55">
        <w:rPr>
          <w:rFonts w:eastAsiaTheme="minorHAnsi"/>
          <w:lang w:eastAsia="en-US"/>
        </w:rPr>
        <w:t xml:space="preserve"> parts ou </w:t>
      </w:r>
      <w:r w:rsidR="00D32F84">
        <w:rPr>
          <w:rFonts w:eastAsiaTheme="minorHAnsi"/>
          <w:lang w:eastAsia="en-US"/>
        </w:rPr>
        <w:t>d’</w:t>
      </w:r>
      <w:r w:rsidRPr="00DF3F55">
        <w:rPr>
          <w:rFonts w:eastAsiaTheme="minorHAnsi"/>
          <w:lang w:eastAsia="en-US"/>
        </w:rPr>
        <w:t>actions proportionnelle</w:t>
      </w:r>
      <w:r w:rsidR="00D32F84">
        <w:rPr>
          <w:rFonts w:eastAsiaTheme="minorHAnsi"/>
          <w:lang w:eastAsia="en-US"/>
        </w:rPr>
        <w:t>ment</w:t>
      </w:r>
      <w:r w:rsidRPr="00DF3F55">
        <w:rPr>
          <w:rFonts w:eastAsiaTheme="minorHAnsi"/>
          <w:lang w:eastAsia="en-US"/>
        </w:rPr>
        <w:t xml:space="preserve"> à la valeur de </w:t>
      </w:r>
      <w:r w:rsidR="00D32F84">
        <w:rPr>
          <w:rFonts w:eastAsiaTheme="minorHAnsi"/>
          <w:lang w:eastAsia="en-US"/>
        </w:rPr>
        <w:t>l’</w:t>
      </w:r>
      <w:r w:rsidRPr="00DF3F55">
        <w:rPr>
          <w:rFonts w:eastAsiaTheme="minorHAnsi"/>
          <w:lang w:eastAsia="en-US"/>
        </w:rPr>
        <w:t>apport.</w:t>
      </w:r>
      <w:r w:rsidR="00D32F84">
        <w:rPr>
          <w:rFonts w:eastAsiaTheme="minorHAnsi"/>
          <w:lang w:eastAsia="en-US"/>
        </w:rPr>
        <w:t xml:space="preserve"> Il s’agit d’un apport en nature soumis à une évaluation.</w:t>
      </w:r>
    </w:p>
    <w:p w:rsidR="00B8610D" w:rsidRDefault="00B8610D" w:rsidP="004B7EDA">
      <w:pPr>
        <w:pStyle w:val="Sansinterligne"/>
        <w:jc w:val="both"/>
        <w:rPr>
          <w:rFonts w:eastAsiaTheme="minorHAnsi"/>
          <w:lang w:eastAsia="en-US"/>
        </w:rPr>
      </w:pPr>
    </w:p>
    <w:p w:rsidR="00DF3F55" w:rsidRPr="00DF3F55" w:rsidRDefault="00D32F84" w:rsidP="004B7EDA">
      <w:pPr>
        <w:pStyle w:val="Sansinterligne"/>
        <w:jc w:val="both"/>
        <w:rPr>
          <w:rFonts w:eastAsiaTheme="minorHAnsi"/>
          <w:lang w:eastAsia="en-US"/>
        </w:rPr>
      </w:pPr>
      <w:r>
        <w:rPr>
          <w:rFonts w:eastAsiaTheme="minorHAnsi"/>
          <w:lang w:eastAsia="en-US"/>
        </w:rPr>
        <w:t>L</w:t>
      </w:r>
      <w:r w:rsidR="00DF3F55" w:rsidRPr="00DF3F55">
        <w:rPr>
          <w:rFonts w:eastAsiaTheme="minorHAnsi"/>
          <w:lang w:eastAsia="en-US"/>
        </w:rPr>
        <w:t xml:space="preserve">’apport </w:t>
      </w:r>
      <w:r>
        <w:rPr>
          <w:rFonts w:eastAsiaTheme="minorHAnsi"/>
          <w:lang w:eastAsia="en-US"/>
        </w:rPr>
        <w:t>effectué lors de</w:t>
      </w:r>
      <w:r w:rsidR="00DF3F55" w:rsidRPr="00DF3F55">
        <w:rPr>
          <w:rFonts w:eastAsiaTheme="minorHAnsi"/>
          <w:lang w:eastAsia="en-US"/>
        </w:rPr>
        <w:t xml:space="preserve"> </w:t>
      </w:r>
      <w:proofErr w:type="spellStart"/>
      <w:r w:rsidR="00DF3F55" w:rsidRPr="00DF3F55">
        <w:rPr>
          <w:rFonts w:eastAsiaTheme="minorHAnsi"/>
          <w:lang w:eastAsia="en-US"/>
        </w:rPr>
        <w:t>de</w:t>
      </w:r>
      <w:proofErr w:type="spellEnd"/>
      <w:r w:rsidR="00DF3F55" w:rsidRPr="00DF3F55">
        <w:rPr>
          <w:rFonts w:eastAsiaTheme="minorHAnsi"/>
          <w:lang w:eastAsia="en-US"/>
        </w:rPr>
        <w:t xml:space="preserve"> constitution </w:t>
      </w:r>
      <w:r>
        <w:rPr>
          <w:rFonts w:eastAsiaTheme="minorHAnsi"/>
          <w:lang w:eastAsia="en-US"/>
        </w:rPr>
        <w:t>d’une</w:t>
      </w:r>
      <w:r w:rsidR="00DF3F55" w:rsidRPr="00DF3F55">
        <w:rPr>
          <w:rFonts w:eastAsiaTheme="minorHAnsi"/>
          <w:lang w:eastAsia="en-US"/>
        </w:rPr>
        <w:t xml:space="preserve"> société et l’apport fait à une société déjà existante</w:t>
      </w:r>
      <w:r>
        <w:rPr>
          <w:rFonts w:eastAsiaTheme="minorHAnsi"/>
          <w:lang w:eastAsia="en-US"/>
        </w:rPr>
        <w:t xml:space="preserve"> est soumis au même régime juridique</w:t>
      </w:r>
      <w:r w:rsidR="00DF3F55" w:rsidRPr="00DF3F55">
        <w:rPr>
          <w:rFonts w:eastAsiaTheme="minorHAnsi"/>
          <w:lang w:eastAsia="en-US"/>
        </w:rPr>
        <w:t>.</w:t>
      </w:r>
    </w:p>
    <w:p w:rsidR="00DF3F55" w:rsidRDefault="00DF3F55" w:rsidP="00DF3F55">
      <w:pPr>
        <w:pStyle w:val="Sansinterligne"/>
        <w:rPr>
          <w:rFonts w:eastAsiaTheme="minorHAnsi"/>
          <w:lang w:eastAsia="en-US"/>
        </w:rPr>
      </w:pPr>
    </w:p>
    <w:p w:rsidR="00DF3F55" w:rsidRDefault="00DF3F55" w:rsidP="00DF3F55">
      <w:pPr>
        <w:pStyle w:val="Sansinterligne"/>
      </w:pPr>
    </w:p>
    <w:p w:rsidR="00DF3F55" w:rsidRDefault="00DF3F55" w:rsidP="00DF3F55">
      <w:pPr>
        <w:pStyle w:val="Sansinterligne"/>
        <w:jc w:val="center"/>
      </w:pPr>
      <w:r>
        <w:t>REGIME JURIDIQUE DE L’APPORT EN SOCIETE DU FDC</w:t>
      </w:r>
    </w:p>
    <w:p w:rsidR="00DF3F55" w:rsidRDefault="00DF3F55" w:rsidP="00DF3F55">
      <w:pPr>
        <w:pStyle w:val="Sansinterligne"/>
      </w:pPr>
    </w:p>
    <w:p w:rsidR="00751632" w:rsidRPr="00DF3F55" w:rsidRDefault="00751632" w:rsidP="00056777">
      <w:pPr>
        <w:pStyle w:val="Sansinterligne"/>
        <w:jc w:val="both"/>
      </w:pPr>
      <w:r w:rsidRPr="00DF3F55">
        <w:t xml:space="preserve">L’apport </w:t>
      </w:r>
      <w:r w:rsidR="00056777">
        <w:t>en société d’un</w:t>
      </w:r>
      <w:r w:rsidRPr="00DF3F55">
        <w:t xml:space="preserve"> fonds </w:t>
      </w:r>
      <w:r w:rsidR="00056777">
        <w:t>de commerce</w:t>
      </w:r>
      <w:r w:rsidRPr="00DF3F55">
        <w:t xml:space="preserve"> </w:t>
      </w:r>
      <w:r w:rsidR="00056777">
        <w:t xml:space="preserve">obéit </w:t>
      </w:r>
      <w:r w:rsidRPr="00DF3F55">
        <w:t xml:space="preserve">à un régime </w:t>
      </w:r>
      <w:r w:rsidR="007C7893">
        <w:t>assez similaire à</w:t>
      </w:r>
      <w:r w:rsidR="00056777">
        <w:t xml:space="preserve"> la</w:t>
      </w:r>
      <w:r w:rsidR="00DF3F55">
        <w:t xml:space="preserve"> vente du fonds </w:t>
      </w:r>
      <w:r w:rsidRPr="00DF3F55">
        <w:t>de commerce :</w:t>
      </w:r>
    </w:p>
    <w:p w:rsidR="00751632" w:rsidRPr="00DF3F55" w:rsidRDefault="00751632" w:rsidP="00056777">
      <w:pPr>
        <w:pStyle w:val="Sansinterligne"/>
        <w:jc w:val="both"/>
      </w:pPr>
    </w:p>
    <w:p w:rsidR="009F1F34" w:rsidRDefault="00056777" w:rsidP="004B7EDA">
      <w:pPr>
        <w:pStyle w:val="Sansinterligne"/>
        <w:jc w:val="both"/>
      </w:pPr>
      <w:r w:rsidRPr="00056777">
        <w:t xml:space="preserve">L’apport </w:t>
      </w:r>
      <w:r w:rsidR="00751632" w:rsidRPr="00056777">
        <w:t xml:space="preserve">doit être constaté </w:t>
      </w:r>
      <w:r w:rsidRPr="00056777">
        <w:t>par</w:t>
      </w:r>
      <w:r w:rsidR="00751632" w:rsidRPr="00056777">
        <w:t xml:space="preserve"> un acte portant </w:t>
      </w:r>
      <w:r w:rsidRPr="00056777">
        <w:t xml:space="preserve">des </w:t>
      </w:r>
      <w:r w:rsidR="00751632" w:rsidRPr="00056777">
        <w:t>mentions obligatoires</w:t>
      </w:r>
      <w:r w:rsidR="00751632" w:rsidRPr="00DF3F55">
        <w:t xml:space="preserve"> </w:t>
      </w:r>
      <w:r>
        <w:t>analogues à celles</w:t>
      </w:r>
      <w:r w:rsidR="00751632" w:rsidRPr="00DF3F55">
        <w:t xml:space="preserve"> relatives à la vente sous peine de nullité.</w:t>
      </w:r>
      <w:r w:rsidR="009F1F34">
        <w:t xml:space="preserve"> </w:t>
      </w:r>
      <w:r w:rsidR="009F1F34" w:rsidRPr="00DF3F55">
        <w:t>S’agissant de l’apport, en contre partie du transfert du fonds de commerce, il y a octroi de droits sociaux au profit de l’apporteur. L’acte qui constate l’apport</w:t>
      </w:r>
      <w:r w:rsidR="007C7893">
        <w:t xml:space="preserve"> et</w:t>
      </w:r>
      <w:r w:rsidR="009F1F34" w:rsidRPr="00DF3F55">
        <w:t xml:space="preserve"> les statuts de la société, doi</w:t>
      </w:r>
      <w:r w:rsidR="007C7893">
        <w:t>ven</w:t>
      </w:r>
      <w:r w:rsidR="009F1F34" w:rsidRPr="00DF3F55">
        <w:t xml:space="preserve">t contenir les mêmes mentions que l’acte de vente. L’absence de ces informations génère la nullité du contrat d’apport. </w:t>
      </w:r>
    </w:p>
    <w:p w:rsidR="00751632" w:rsidRPr="00DF3F55" w:rsidRDefault="00751632" w:rsidP="00056777">
      <w:pPr>
        <w:pStyle w:val="Sansinterligne"/>
        <w:jc w:val="both"/>
      </w:pPr>
    </w:p>
    <w:p w:rsidR="00056777" w:rsidRDefault="00056777" w:rsidP="00056777">
      <w:pPr>
        <w:pStyle w:val="Sansinterligne"/>
        <w:jc w:val="both"/>
      </w:pPr>
      <w:r w:rsidRPr="00056777">
        <w:t>Des mesures de publicité sont également utiles</w:t>
      </w:r>
      <w:r w:rsidR="00751632" w:rsidRPr="00056777">
        <w:t xml:space="preserve"> </w:t>
      </w:r>
      <w:r>
        <w:t xml:space="preserve">dans le but d’en informer </w:t>
      </w:r>
      <w:r w:rsidR="00751632" w:rsidRPr="00056777">
        <w:t>les créanciers</w:t>
      </w:r>
      <w:r>
        <w:t xml:space="preserve"> de l’apporteur, dont les créanciers non inscrits (chirographaires). En effet, un extrait de l’acte doit être publié dans un Journal d’Annonces Légales et au Bulletin Officiel avec une deuxième insertion entre le 8</w:t>
      </w:r>
      <w:r w:rsidRPr="00056777">
        <w:rPr>
          <w:vertAlign w:val="superscript"/>
        </w:rPr>
        <w:t>ème</w:t>
      </w:r>
      <w:r>
        <w:t xml:space="preserve"> et le 15</w:t>
      </w:r>
      <w:r w:rsidRPr="00056777">
        <w:rPr>
          <w:vertAlign w:val="superscript"/>
        </w:rPr>
        <w:t>ème</w:t>
      </w:r>
      <w:r>
        <w:t xml:space="preserve"> jour de la première.</w:t>
      </w:r>
    </w:p>
    <w:p w:rsidR="00056777" w:rsidRDefault="00056777" w:rsidP="00056777">
      <w:pPr>
        <w:pStyle w:val="Sansinterligne"/>
        <w:jc w:val="both"/>
      </w:pPr>
    </w:p>
    <w:p w:rsidR="00056777" w:rsidRDefault="00056777" w:rsidP="00056777">
      <w:pPr>
        <w:pStyle w:val="Sansinterligne"/>
        <w:jc w:val="both"/>
      </w:pPr>
      <w:r>
        <w:t>L</w:t>
      </w:r>
      <w:r w:rsidRPr="00DF3F55">
        <w:t xml:space="preserve">es créanciers du fonds de commerce </w:t>
      </w:r>
      <w:r>
        <w:t xml:space="preserve">doivent déposer </w:t>
      </w:r>
      <w:r w:rsidRPr="00DF3F55">
        <w:t xml:space="preserve"> une déclaration de</w:t>
      </w:r>
      <w:r>
        <w:t xml:space="preserve"> leur</w:t>
      </w:r>
      <w:r w:rsidRPr="00DF3F55">
        <w:t>s créances au greffe du Tribunal de Commerce</w:t>
      </w:r>
      <w:r>
        <w:t xml:space="preserve"> </w:t>
      </w:r>
      <w:r w:rsidR="004B7EDA">
        <w:t>du lieu d’exploitation du fonds</w:t>
      </w:r>
      <w:r>
        <w:t xml:space="preserve">, dans le délai de dix (10) </w:t>
      </w:r>
      <w:r w:rsidRPr="00DF3F55">
        <w:t xml:space="preserve"> jours </w:t>
      </w:r>
      <w:r>
        <w:t xml:space="preserve">à partir </w:t>
      </w:r>
      <w:r w:rsidRPr="00DF3F55">
        <w:t>de la de</w:t>
      </w:r>
      <w:r>
        <w:t>uxième</w:t>
      </w:r>
      <w:r w:rsidRPr="00DF3F55">
        <w:t xml:space="preserve"> publication.</w:t>
      </w:r>
    </w:p>
    <w:p w:rsidR="00056777" w:rsidRDefault="00056777" w:rsidP="00DF3F55">
      <w:pPr>
        <w:pStyle w:val="Sansinterligne"/>
      </w:pPr>
    </w:p>
    <w:p w:rsidR="00751632" w:rsidRPr="00DF3F55" w:rsidRDefault="00056777" w:rsidP="00DF3F55">
      <w:pPr>
        <w:pStyle w:val="Sansinterligne"/>
      </w:pPr>
      <w:r>
        <w:lastRenderedPageBreak/>
        <w:t xml:space="preserve">Cet </w:t>
      </w:r>
      <w:r w:rsidR="00751632" w:rsidRPr="00DF3F55">
        <w:t xml:space="preserve">apport n’entraîne pas </w:t>
      </w:r>
      <w:r>
        <w:t>le paiement d’un</w:t>
      </w:r>
      <w:r w:rsidR="00751632" w:rsidRPr="00DF3F55">
        <w:t xml:space="preserve"> prix, </w:t>
      </w:r>
      <w:r w:rsidR="009F1F34">
        <w:t>puisque sa contrepartie est</w:t>
      </w:r>
      <w:r w:rsidR="00751632" w:rsidRPr="00DF3F55">
        <w:t xml:space="preserve"> la délivrance de parts ou </w:t>
      </w:r>
      <w:r w:rsidR="009F1F34">
        <w:t>d’</w:t>
      </w:r>
      <w:r w:rsidR="00751632" w:rsidRPr="00DF3F55">
        <w:t xml:space="preserve">actions </w:t>
      </w:r>
      <w:r w:rsidR="009F1F34">
        <w:t>(valeurs mobilières)</w:t>
      </w:r>
      <w:r w:rsidR="00751632" w:rsidRPr="00DF3F55">
        <w:t xml:space="preserve">. </w:t>
      </w:r>
      <w:r w:rsidR="009F1F34">
        <w:t>D’où l’intérêt d’une protection accrue des créanciers</w:t>
      </w:r>
      <w:r w:rsidR="00751632" w:rsidRPr="00DF3F55">
        <w:t>.</w:t>
      </w:r>
    </w:p>
    <w:p w:rsidR="00056777" w:rsidRDefault="00056777" w:rsidP="00DF3F55">
      <w:pPr>
        <w:pStyle w:val="Sansinterligne"/>
        <w:rPr>
          <w:i/>
        </w:rPr>
      </w:pPr>
    </w:p>
    <w:p w:rsidR="005417B4" w:rsidRDefault="005417B4" w:rsidP="0002760C">
      <w:pPr>
        <w:pStyle w:val="Sansinterligne"/>
        <w:jc w:val="both"/>
      </w:pPr>
      <w:r>
        <w:t xml:space="preserve">Une fois les déclarations de créances accomplies dans le délai légal, la société bénéficiaire de l’apport en nature devra émettre une décision dans le délai de quinze (15) jours : soit </w:t>
      </w:r>
      <w:r>
        <w:rPr>
          <w:b/>
        </w:rPr>
        <w:t>prendre en charge l</w:t>
      </w:r>
      <w:r w:rsidR="00751632" w:rsidRPr="005417B4">
        <w:rPr>
          <w:b/>
        </w:rPr>
        <w:t xml:space="preserve">es dettes déclarées soit </w:t>
      </w:r>
      <w:proofErr w:type="gramStart"/>
      <w:r>
        <w:rPr>
          <w:b/>
        </w:rPr>
        <w:t>renoncer</w:t>
      </w:r>
      <w:proofErr w:type="gramEnd"/>
      <w:r w:rsidR="00751632" w:rsidRPr="005417B4">
        <w:rPr>
          <w:b/>
        </w:rPr>
        <w:t xml:space="preserve"> à l’apport en société</w:t>
      </w:r>
      <w:r w:rsidR="00751632" w:rsidRPr="005417B4">
        <w:t>.</w:t>
      </w:r>
      <w:r w:rsidR="00751632" w:rsidRPr="00DF3F55">
        <w:rPr>
          <w:i/>
        </w:rPr>
        <w:t xml:space="preserve"> </w:t>
      </w:r>
      <w:r>
        <w:t>Son silence est interprété comme une acceptation tacite de la prise en charge du passif déclaré.</w:t>
      </w:r>
    </w:p>
    <w:p w:rsidR="00C262A2" w:rsidRDefault="00C262A2" w:rsidP="0002760C">
      <w:pPr>
        <w:pStyle w:val="Sansinterligne"/>
        <w:jc w:val="both"/>
      </w:pPr>
    </w:p>
    <w:p w:rsidR="0050541A" w:rsidRDefault="00D95B9A" w:rsidP="0002760C">
      <w:pPr>
        <w:pStyle w:val="Sansinterligne"/>
        <w:jc w:val="both"/>
      </w:pPr>
      <w:r>
        <w:t xml:space="preserve">Le refus de la prise en charge des dettes </w:t>
      </w:r>
      <w:r w:rsidR="0050541A">
        <w:t>contraint la société à demander l’annulation de l’apport, auprès du juge du Tribunal de Commerce du lieu du siège social. Si l’apport est fait à une société nouvellement créée, elle est habilitée à demander l’annulation du contrat de société.</w:t>
      </w:r>
    </w:p>
    <w:p w:rsidR="0050541A" w:rsidRDefault="0050541A" w:rsidP="00DF3F55">
      <w:pPr>
        <w:pStyle w:val="Sansinterligne"/>
      </w:pPr>
    </w:p>
    <w:p w:rsidR="0050541A" w:rsidRDefault="0050541A" w:rsidP="0002760C">
      <w:pPr>
        <w:pStyle w:val="Sansinterligne"/>
        <w:jc w:val="both"/>
      </w:pPr>
      <w:r>
        <w:t>En revanche, si l’apport à annuler est fait à une société déjà existante et qu’il lui est essentiel, la société est en mesure de demander sa dissolution.</w:t>
      </w:r>
    </w:p>
    <w:p w:rsidR="00D95B9A" w:rsidRDefault="0050541A" w:rsidP="00DF3F55">
      <w:pPr>
        <w:pStyle w:val="Sansinterligne"/>
      </w:pPr>
      <w:r>
        <w:t xml:space="preserve">  </w:t>
      </w:r>
      <w:r w:rsidR="00D95B9A">
        <w:t xml:space="preserve"> </w:t>
      </w:r>
    </w:p>
    <w:p w:rsidR="00751632" w:rsidRDefault="00751632" w:rsidP="0002760C">
      <w:pPr>
        <w:pStyle w:val="Sansinterligne"/>
        <w:jc w:val="both"/>
      </w:pPr>
      <w:r w:rsidRPr="00DF3F55">
        <w:t xml:space="preserve">Si le juge </w:t>
      </w:r>
      <w:r w:rsidR="0002760C">
        <w:t>considère que la décision de la société est motivée par des raisons sérieuses (passif très important par exemple)</w:t>
      </w:r>
      <w:r w:rsidRPr="00DF3F55">
        <w:t xml:space="preserve">, la dette </w:t>
      </w:r>
      <w:r w:rsidR="0002760C">
        <w:t>redevient</w:t>
      </w:r>
      <w:r w:rsidRPr="00DF3F55">
        <w:t xml:space="preserve"> personnelle </w:t>
      </w:r>
      <w:r w:rsidR="0002760C">
        <w:t>à l’apporteur</w:t>
      </w:r>
      <w:r w:rsidRPr="00DF3F55">
        <w:t xml:space="preserve"> du fonds de commerce.</w:t>
      </w:r>
    </w:p>
    <w:p w:rsidR="00DF3F55" w:rsidRPr="00DF3F55" w:rsidRDefault="00DF3F55" w:rsidP="00DF3F55">
      <w:pPr>
        <w:pStyle w:val="Sansinterligne"/>
      </w:pPr>
    </w:p>
    <w:p w:rsidR="00DF3F55" w:rsidRDefault="00431E67" w:rsidP="00DF3F55">
      <w:pPr>
        <w:pStyle w:val="Sansinterligne"/>
        <w:rPr>
          <w:bCs/>
          <w:kern w:val="36"/>
        </w:rPr>
      </w:pPr>
      <w:r>
        <w:rPr>
          <w:bCs/>
          <w:kern w:val="36"/>
        </w:rPr>
        <w:t>L’apport en société d’un fonds de commerce, effectué par une société et non pas une personne physique, notamment dans le cadre d’une fusion obéit aux règles spécifiques prévues par la réglementation relative aux sociétés.</w:t>
      </w:r>
    </w:p>
    <w:p w:rsidR="00431E67" w:rsidRDefault="00431E67" w:rsidP="00DF3F55">
      <w:pPr>
        <w:pStyle w:val="Sansinterligne"/>
        <w:rPr>
          <w:bCs/>
          <w:kern w:val="36"/>
        </w:rPr>
      </w:pPr>
    </w:p>
    <w:p w:rsidR="00431E67" w:rsidRDefault="00431E67" w:rsidP="00431E67">
      <w:pPr>
        <w:pStyle w:val="Sansinterligne"/>
        <w:jc w:val="center"/>
        <w:rPr>
          <w:b/>
          <w:bCs/>
          <w:kern w:val="36"/>
        </w:rPr>
      </w:pPr>
      <w:r>
        <w:rPr>
          <w:bCs/>
          <w:kern w:val="36"/>
        </w:rPr>
        <w:t>MOTIFS DU RECOURS A CE TYPE D’ACTES</w:t>
      </w:r>
    </w:p>
    <w:p w:rsidR="00751632" w:rsidRDefault="00751632" w:rsidP="00C262A2">
      <w:pPr>
        <w:pStyle w:val="Sansinterligne"/>
        <w:jc w:val="both"/>
      </w:pPr>
    </w:p>
    <w:p w:rsidR="00431E67" w:rsidRDefault="00431E67" w:rsidP="00C262A2">
      <w:pPr>
        <w:pStyle w:val="Sansinterligne"/>
        <w:jc w:val="both"/>
      </w:pPr>
      <w:r>
        <w:t>La réalisation de l’apport en société d’un fonds de commerce peut être motivé</w:t>
      </w:r>
      <w:r w:rsidR="00857505">
        <w:t>e</w:t>
      </w:r>
      <w:r>
        <w:t xml:space="preserve"> par plusieurs raisons : </w:t>
      </w:r>
    </w:p>
    <w:p w:rsidR="00431E67" w:rsidRDefault="00431E67" w:rsidP="00C262A2">
      <w:pPr>
        <w:pStyle w:val="Sansinterligne"/>
        <w:jc w:val="both"/>
      </w:pPr>
    </w:p>
    <w:p w:rsidR="00751632" w:rsidRDefault="00431E67" w:rsidP="00431E67">
      <w:pPr>
        <w:pStyle w:val="Sansinterligne"/>
        <w:numPr>
          <w:ilvl w:val="0"/>
          <w:numId w:val="12"/>
        </w:numPr>
        <w:jc w:val="both"/>
      </w:pPr>
      <w:r>
        <w:t xml:space="preserve">Transiter de l’entreprise individuelle à l’exploitation sociétale, notamment par le rapprochement </w:t>
      </w:r>
      <w:r w:rsidR="00751632" w:rsidRPr="00DF3F55">
        <w:t xml:space="preserve">entre </w:t>
      </w:r>
      <w:r>
        <w:t>des</w:t>
      </w:r>
      <w:r w:rsidR="00751632" w:rsidRPr="00DF3F55">
        <w:t xml:space="preserve"> entrepreneurs individuels </w:t>
      </w:r>
      <w:r>
        <w:t>poursuivant le même objectif économique.</w:t>
      </w:r>
    </w:p>
    <w:p w:rsidR="00431E67" w:rsidRDefault="00857505" w:rsidP="00431E67">
      <w:pPr>
        <w:pStyle w:val="Sansinterligne"/>
        <w:numPr>
          <w:ilvl w:val="0"/>
          <w:numId w:val="12"/>
        </w:numPr>
        <w:jc w:val="both"/>
      </w:pPr>
      <w:r>
        <w:t>Restreindre le risque d’exploitation et la responsabilité aux dettes par l’adoption ou l’apport à une société de capitaux ou une société à responsabilité limitée.</w:t>
      </w:r>
    </w:p>
    <w:p w:rsidR="00857505" w:rsidRDefault="00857505" w:rsidP="00431E67">
      <w:pPr>
        <w:pStyle w:val="Sansinterligne"/>
        <w:numPr>
          <w:ilvl w:val="0"/>
          <w:numId w:val="12"/>
        </w:numPr>
        <w:jc w:val="both"/>
      </w:pPr>
      <w:r>
        <w:t>L’apport effectué à titre onéreux est rémunéré par des droits sociaux, ce qui constitue un pouvoir (part ou action sociale + droit de vote + droit à l’information sur la gestion sociale).</w:t>
      </w:r>
    </w:p>
    <w:p w:rsidR="00857505" w:rsidRPr="00DF3F55" w:rsidRDefault="00857505" w:rsidP="00857505">
      <w:pPr>
        <w:pStyle w:val="Sansinterligne"/>
        <w:ind w:left="720"/>
        <w:jc w:val="both"/>
      </w:pPr>
    </w:p>
    <w:p w:rsidR="00857505" w:rsidRDefault="00857505" w:rsidP="007C2E71">
      <w:pPr>
        <w:pStyle w:val="Sansinterligne"/>
        <w:jc w:val="both"/>
        <w:rPr>
          <w:rStyle w:val="lev"/>
          <w:b w:val="0"/>
        </w:rPr>
      </w:pPr>
      <w:r w:rsidRPr="00857505">
        <w:rPr>
          <w:rStyle w:val="lev"/>
          <w:b w:val="0"/>
        </w:rPr>
        <w:t>Il est</w:t>
      </w:r>
      <w:r>
        <w:rPr>
          <w:rStyle w:val="lev"/>
          <w:b w:val="0"/>
        </w:rPr>
        <w:t xml:space="preserve"> certain que l’originalité du contrat d’apport en société d’un fonds de commerce réside </w:t>
      </w:r>
      <w:r w:rsidR="00B23A17">
        <w:rPr>
          <w:rStyle w:val="lev"/>
          <w:b w:val="0"/>
        </w:rPr>
        <w:t>dans la transmission des dettes (passif) avec ses él</w:t>
      </w:r>
      <w:r w:rsidR="00E46868">
        <w:rPr>
          <w:rStyle w:val="lev"/>
          <w:b w:val="0"/>
        </w:rPr>
        <w:t>éments constitutifs.</w:t>
      </w:r>
    </w:p>
    <w:p w:rsidR="00E46868" w:rsidRPr="00857505" w:rsidRDefault="00E46868" w:rsidP="007C2E71">
      <w:pPr>
        <w:pStyle w:val="Sansinterligne"/>
        <w:jc w:val="both"/>
        <w:rPr>
          <w:rStyle w:val="lev"/>
          <w:b w:val="0"/>
        </w:rPr>
      </w:pPr>
    </w:p>
    <w:p w:rsidR="00751632" w:rsidRPr="00DF3F55" w:rsidRDefault="004A3A80" w:rsidP="007C2E71">
      <w:pPr>
        <w:pStyle w:val="Sansinterligne"/>
        <w:jc w:val="both"/>
      </w:pPr>
      <w:r>
        <w:t>Il s’agit d’</w:t>
      </w:r>
      <w:r w:rsidR="00E46868">
        <w:t xml:space="preserve">un apport constitutif du capital social, ce qui engendre plusieurs conséquences dont l’évaluation du fonds par un Commissaire aux Apports  </w:t>
      </w:r>
      <w:r w:rsidR="007C2E71">
        <w:t>dans le but de détermination proportionnelle</w:t>
      </w:r>
      <w:r w:rsidR="00751632" w:rsidRPr="00DF3F55">
        <w:t xml:space="preserve"> de</w:t>
      </w:r>
      <w:r w:rsidR="007C2E71">
        <w:t>s valeurs mobilières</w:t>
      </w:r>
      <w:r w:rsidR="00751632" w:rsidRPr="00DF3F55">
        <w:t>.</w:t>
      </w:r>
    </w:p>
    <w:p w:rsidR="007C2E71" w:rsidRDefault="007C2E71" w:rsidP="00DF3F55">
      <w:pPr>
        <w:pStyle w:val="Sansinterligne"/>
      </w:pPr>
    </w:p>
    <w:p w:rsidR="00751632" w:rsidRDefault="00751632" w:rsidP="00DF3F55">
      <w:pPr>
        <w:pStyle w:val="Sansinterligne"/>
      </w:pPr>
    </w:p>
    <w:sectPr w:rsidR="00751632" w:rsidSect="00075E6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64CC"/>
    <w:multiLevelType w:val="hybridMultilevel"/>
    <w:tmpl w:val="9496C556"/>
    <w:lvl w:ilvl="0" w:tplc="F5CE66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3400D0"/>
    <w:multiLevelType w:val="multilevel"/>
    <w:tmpl w:val="CB681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037D10"/>
    <w:multiLevelType w:val="multilevel"/>
    <w:tmpl w:val="3C028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ED11A8"/>
    <w:multiLevelType w:val="multilevel"/>
    <w:tmpl w:val="F4E80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E6288E"/>
    <w:multiLevelType w:val="multilevel"/>
    <w:tmpl w:val="1C183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5C1A58"/>
    <w:multiLevelType w:val="multilevel"/>
    <w:tmpl w:val="D4CA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8815F7"/>
    <w:multiLevelType w:val="multilevel"/>
    <w:tmpl w:val="BCFE1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94448F"/>
    <w:multiLevelType w:val="multilevel"/>
    <w:tmpl w:val="B868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467015"/>
    <w:multiLevelType w:val="multilevel"/>
    <w:tmpl w:val="38429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9B3EE4"/>
    <w:multiLevelType w:val="hybridMultilevel"/>
    <w:tmpl w:val="F648F412"/>
    <w:lvl w:ilvl="0" w:tplc="9DE85818">
      <w:start w:val="3"/>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10">
    <w:nsid w:val="73B53F46"/>
    <w:multiLevelType w:val="multilevel"/>
    <w:tmpl w:val="5F1AD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856DA7"/>
    <w:multiLevelType w:val="multilevel"/>
    <w:tmpl w:val="CC3C9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4"/>
  </w:num>
  <w:num w:numId="4">
    <w:abstractNumId w:val="3"/>
  </w:num>
  <w:num w:numId="5">
    <w:abstractNumId w:val="7"/>
  </w:num>
  <w:num w:numId="6">
    <w:abstractNumId w:val="8"/>
  </w:num>
  <w:num w:numId="7">
    <w:abstractNumId w:val="10"/>
  </w:num>
  <w:num w:numId="8">
    <w:abstractNumId w:val="11"/>
  </w:num>
  <w:num w:numId="9">
    <w:abstractNumId w:val="1"/>
  </w:num>
  <w:num w:numId="10">
    <w:abstractNumId w:val="2"/>
  </w:num>
  <w:num w:numId="11">
    <w:abstractNumId w:val="5"/>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3606DE"/>
    <w:rsid w:val="0000598A"/>
    <w:rsid w:val="000062D1"/>
    <w:rsid w:val="000076C7"/>
    <w:rsid w:val="00010DC9"/>
    <w:rsid w:val="00011138"/>
    <w:rsid w:val="00014A11"/>
    <w:rsid w:val="00014C33"/>
    <w:rsid w:val="0002076F"/>
    <w:rsid w:val="00022154"/>
    <w:rsid w:val="0002528C"/>
    <w:rsid w:val="0002760C"/>
    <w:rsid w:val="000303AE"/>
    <w:rsid w:val="00044A61"/>
    <w:rsid w:val="00045AAB"/>
    <w:rsid w:val="00047D70"/>
    <w:rsid w:val="00050F42"/>
    <w:rsid w:val="00051021"/>
    <w:rsid w:val="00054BD1"/>
    <w:rsid w:val="00054DDF"/>
    <w:rsid w:val="00056777"/>
    <w:rsid w:val="00064717"/>
    <w:rsid w:val="00064E0E"/>
    <w:rsid w:val="000706DC"/>
    <w:rsid w:val="000708D9"/>
    <w:rsid w:val="0007247A"/>
    <w:rsid w:val="00075377"/>
    <w:rsid w:val="00075E6A"/>
    <w:rsid w:val="00077A02"/>
    <w:rsid w:val="000827A7"/>
    <w:rsid w:val="00085899"/>
    <w:rsid w:val="00087732"/>
    <w:rsid w:val="00091889"/>
    <w:rsid w:val="00092295"/>
    <w:rsid w:val="0009605F"/>
    <w:rsid w:val="000961FD"/>
    <w:rsid w:val="000A51F3"/>
    <w:rsid w:val="000B04F1"/>
    <w:rsid w:val="000B3EDF"/>
    <w:rsid w:val="000B4B93"/>
    <w:rsid w:val="000C48D3"/>
    <w:rsid w:val="000C5C95"/>
    <w:rsid w:val="000C73C4"/>
    <w:rsid w:val="000D2FC5"/>
    <w:rsid w:val="000D4D81"/>
    <w:rsid w:val="000D5E41"/>
    <w:rsid w:val="000D7D04"/>
    <w:rsid w:val="000E25B9"/>
    <w:rsid w:val="000E3A0D"/>
    <w:rsid w:val="000E747E"/>
    <w:rsid w:val="000F173A"/>
    <w:rsid w:val="000F23C9"/>
    <w:rsid w:val="000F3499"/>
    <w:rsid w:val="000F3778"/>
    <w:rsid w:val="000F67DC"/>
    <w:rsid w:val="001123BC"/>
    <w:rsid w:val="00120368"/>
    <w:rsid w:val="0012131D"/>
    <w:rsid w:val="00133328"/>
    <w:rsid w:val="00152BEA"/>
    <w:rsid w:val="0015383B"/>
    <w:rsid w:val="00153A63"/>
    <w:rsid w:val="00162700"/>
    <w:rsid w:val="001728C9"/>
    <w:rsid w:val="00173291"/>
    <w:rsid w:val="001735E5"/>
    <w:rsid w:val="00181FF1"/>
    <w:rsid w:val="00197EDE"/>
    <w:rsid w:val="001A1FBE"/>
    <w:rsid w:val="001A3FD3"/>
    <w:rsid w:val="001A47A3"/>
    <w:rsid w:val="001A7FBF"/>
    <w:rsid w:val="001B1817"/>
    <w:rsid w:val="001B281A"/>
    <w:rsid w:val="001B5B12"/>
    <w:rsid w:val="001C2768"/>
    <w:rsid w:val="001C29D5"/>
    <w:rsid w:val="001C3096"/>
    <w:rsid w:val="001D10B3"/>
    <w:rsid w:val="001D1233"/>
    <w:rsid w:val="001E00BC"/>
    <w:rsid w:val="001E1A8B"/>
    <w:rsid w:val="001F59D1"/>
    <w:rsid w:val="00201CFF"/>
    <w:rsid w:val="00204EBC"/>
    <w:rsid w:val="00206052"/>
    <w:rsid w:val="00206496"/>
    <w:rsid w:val="0020699A"/>
    <w:rsid w:val="00210692"/>
    <w:rsid w:val="0021111C"/>
    <w:rsid w:val="002152EF"/>
    <w:rsid w:val="00216043"/>
    <w:rsid w:val="002318DD"/>
    <w:rsid w:val="002322E4"/>
    <w:rsid w:val="0024154E"/>
    <w:rsid w:val="002448B8"/>
    <w:rsid w:val="00246C1B"/>
    <w:rsid w:val="00247273"/>
    <w:rsid w:val="00251F20"/>
    <w:rsid w:val="00252B82"/>
    <w:rsid w:val="00256455"/>
    <w:rsid w:val="00256883"/>
    <w:rsid w:val="002600CA"/>
    <w:rsid w:val="002603AE"/>
    <w:rsid w:val="00263D3A"/>
    <w:rsid w:val="00265A81"/>
    <w:rsid w:val="0027119E"/>
    <w:rsid w:val="00273876"/>
    <w:rsid w:val="002747B4"/>
    <w:rsid w:val="00276952"/>
    <w:rsid w:val="0028066D"/>
    <w:rsid w:val="002807F6"/>
    <w:rsid w:val="00283C17"/>
    <w:rsid w:val="002918A6"/>
    <w:rsid w:val="0029315E"/>
    <w:rsid w:val="00295B45"/>
    <w:rsid w:val="00297F3B"/>
    <w:rsid w:val="002A60C1"/>
    <w:rsid w:val="002B2ADF"/>
    <w:rsid w:val="002B3E1C"/>
    <w:rsid w:val="002B6BD6"/>
    <w:rsid w:val="002C0063"/>
    <w:rsid w:val="002C361F"/>
    <w:rsid w:val="002C7EF9"/>
    <w:rsid w:val="002C7F7F"/>
    <w:rsid w:val="002E114D"/>
    <w:rsid w:val="002E18F4"/>
    <w:rsid w:val="002E1FA5"/>
    <w:rsid w:val="002E2B9E"/>
    <w:rsid w:val="002F026D"/>
    <w:rsid w:val="002F09ED"/>
    <w:rsid w:val="002F2090"/>
    <w:rsid w:val="002F3943"/>
    <w:rsid w:val="003004A3"/>
    <w:rsid w:val="0030358F"/>
    <w:rsid w:val="003038F5"/>
    <w:rsid w:val="00303E39"/>
    <w:rsid w:val="003047F3"/>
    <w:rsid w:val="00306C15"/>
    <w:rsid w:val="00307134"/>
    <w:rsid w:val="00310FBC"/>
    <w:rsid w:val="00311B4D"/>
    <w:rsid w:val="00312C5E"/>
    <w:rsid w:val="00322AA9"/>
    <w:rsid w:val="00322E48"/>
    <w:rsid w:val="00323177"/>
    <w:rsid w:val="0032371E"/>
    <w:rsid w:val="00324FDD"/>
    <w:rsid w:val="003320A0"/>
    <w:rsid w:val="00344B00"/>
    <w:rsid w:val="00351A2D"/>
    <w:rsid w:val="00353A08"/>
    <w:rsid w:val="003551B0"/>
    <w:rsid w:val="003570D7"/>
    <w:rsid w:val="00357EFB"/>
    <w:rsid w:val="003606DE"/>
    <w:rsid w:val="00362624"/>
    <w:rsid w:val="003628D1"/>
    <w:rsid w:val="003657D1"/>
    <w:rsid w:val="00370974"/>
    <w:rsid w:val="00372614"/>
    <w:rsid w:val="00377237"/>
    <w:rsid w:val="0038123C"/>
    <w:rsid w:val="00381973"/>
    <w:rsid w:val="00381B9E"/>
    <w:rsid w:val="003930EF"/>
    <w:rsid w:val="00396017"/>
    <w:rsid w:val="003A01A7"/>
    <w:rsid w:val="003A0F48"/>
    <w:rsid w:val="003A3492"/>
    <w:rsid w:val="003A44C9"/>
    <w:rsid w:val="003A6939"/>
    <w:rsid w:val="003A6D3D"/>
    <w:rsid w:val="003B39F0"/>
    <w:rsid w:val="003E0BD0"/>
    <w:rsid w:val="003E1B37"/>
    <w:rsid w:val="003E2F53"/>
    <w:rsid w:val="003E48F1"/>
    <w:rsid w:val="003E53C4"/>
    <w:rsid w:val="003E5667"/>
    <w:rsid w:val="003E7B9B"/>
    <w:rsid w:val="003F06B9"/>
    <w:rsid w:val="003F0D47"/>
    <w:rsid w:val="003F61C4"/>
    <w:rsid w:val="00402CE9"/>
    <w:rsid w:val="0040358A"/>
    <w:rsid w:val="00407127"/>
    <w:rsid w:val="0041421F"/>
    <w:rsid w:val="004147AC"/>
    <w:rsid w:val="004260CE"/>
    <w:rsid w:val="00426EF4"/>
    <w:rsid w:val="00431348"/>
    <w:rsid w:val="00431E67"/>
    <w:rsid w:val="004333AC"/>
    <w:rsid w:val="00435F8D"/>
    <w:rsid w:val="004377AE"/>
    <w:rsid w:val="004400F1"/>
    <w:rsid w:val="004408BA"/>
    <w:rsid w:val="00440F58"/>
    <w:rsid w:val="00442B50"/>
    <w:rsid w:val="0044351A"/>
    <w:rsid w:val="00443AE5"/>
    <w:rsid w:val="00457554"/>
    <w:rsid w:val="00457AC9"/>
    <w:rsid w:val="0046214B"/>
    <w:rsid w:val="00476BBB"/>
    <w:rsid w:val="0048583A"/>
    <w:rsid w:val="0048637B"/>
    <w:rsid w:val="00486BA9"/>
    <w:rsid w:val="0048797B"/>
    <w:rsid w:val="00494ED0"/>
    <w:rsid w:val="0049615A"/>
    <w:rsid w:val="00497B0D"/>
    <w:rsid w:val="004A282E"/>
    <w:rsid w:val="004A3A80"/>
    <w:rsid w:val="004A5FB4"/>
    <w:rsid w:val="004B1005"/>
    <w:rsid w:val="004B18DF"/>
    <w:rsid w:val="004B269A"/>
    <w:rsid w:val="004B4762"/>
    <w:rsid w:val="004B4F75"/>
    <w:rsid w:val="004B5B93"/>
    <w:rsid w:val="004B7EDA"/>
    <w:rsid w:val="004C2B11"/>
    <w:rsid w:val="004C370E"/>
    <w:rsid w:val="004C591E"/>
    <w:rsid w:val="004C6D11"/>
    <w:rsid w:val="004D4A18"/>
    <w:rsid w:val="004E055A"/>
    <w:rsid w:val="004E1886"/>
    <w:rsid w:val="004E2460"/>
    <w:rsid w:val="004E2755"/>
    <w:rsid w:val="004E6D47"/>
    <w:rsid w:val="004E6EE0"/>
    <w:rsid w:val="004E78AF"/>
    <w:rsid w:val="004F08F0"/>
    <w:rsid w:val="004F27AF"/>
    <w:rsid w:val="004F5CE2"/>
    <w:rsid w:val="004F64AD"/>
    <w:rsid w:val="004F7A1B"/>
    <w:rsid w:val="0050042F"/>
    <w:rsid w:val="0050238E"/>
    <w:rsid w:val="00502AE2"/>
    <w:rsid w:val="00504BC8"/>
    <w:rsid w:val="0050541A"/>
    <w:rsid w:val="00505A4D"/>
    <w:rsid w:val="005116A1"/>
    <w:rsid w:val="005131E9"/>
    <w:rsid w:val="005203EF"/>
    <w:rsid w:val="00521307"/>
    <w:rsid w:val="00521BE5"/>
    <w:rsid w:val="00522A00"/>
    <w:rsid w:val="00524B6D"/>
    <w:rsid w:val="00526D00"/>
    <w:rsid w:val="0053439D"/>
    <w:rsid w:val="00541723"/>
    <w:rsid w:val="005417B4"/>
    <w:rsid w:val="00542894"/>
    <w:rsid w:val="0054764A"/>
    <w:rsid w:val="00547BD8"/>
    <w:rsid w:val="00552E9D"/>
    <w:rsid w:val="0055644F"/>
    <w:rsid w:val="00560BE8"/>
    <w:rsid w:val="00563144"/>
    <w:rsid w:val="005644F5"/>
    <w:rsid w:val="00565CBF"/>
    <w:rsid w:val="00570AFB"/>
    <w:rsid w:val="00576ACE"/>
    <w:rsid w:val="005829D4"/>
    <w:rsid w:val="00583564"/>
    <w:rsid w:val="00592D56"/>
    <w:rsid w:val="005933C4"/>
    <w:rsid w:val="005A17A7"/>
    <w:rsid w:val="005A3A58"/>
    <w:rsid w:val="005A4195"/>
    <w:rsid w:val="005A5012"/>
    <w:rsid w:val="005A6356"/>
    <w:rsid w:val="005A6B52"/>
    <w:rsid w:val="005A7B8F"/>
    <w:rsid w:val="005B2872"/>
    <w:rsid w:val="005B4F82"/>
    <w:rsid w:val="005C4751"/>
    <w:rsid w:val="005D07FF"/>
    <w:rsid w:val="005D66F4"/>
    <w:rsid w:val="005D7719"/>
    <w:rsid w:val="005E09B6"/>
    <w:rsid w:val="005E3D74"/>
    <w:rsid w:val="005F3084"/>
    <w:rsid w:val="00606B2F"/>
    <w:rsid w:val="00611175"/>
    <w:rsid w:val="0061370B"/>
    <w:rsid w:val="00614454"/>
    <w:rsid w:val="00615F4C"/>
    <w:rsid w:val="0062066C"/>
    <w:rsid w:val="00632F33"/>
    <w:rsid w:val="006365D1"/>
    <w:rsid w:val="00637A35"/>
    <w:rsid w:val="00640873"/>
    <w:rsid w:val="00645C1A"/>
    <w:rsid w:val="00646272"/>
    <w:rsid w:val="00660CCD"/>
    <w:rsid w:val="00664795"/>
    <w:rsid w:val="00671A6A"/>
    <w:rsid w:val="006777DA"/>
    <w:rsid w:val="006817C7"/>
    <w:rsid w:val="00681FD9"/>
    <w:rsid w:val="00684C01"/>
    <w:rsid w:val="00687385"/>
    <w:rsid w:val="00690B8D"/>
    <w:rsid w:val="0069135C"/>
    <w:rsid w:val="00696DD9"/>
    <w:rsid w:val="00697232"/>
    <w:rsid w:val="006A3F63"/>
    <w:rsid w:val="006A44F1"/>
    <w:rsid w:val="006A45D4"/>
    <w:rsid w:val="006A611F"/>
    <w:rsid w:val="006B1D6B"/>
    <w:rsid w:val="006B2649"/>
    <w:rsid w:val="006B3BBB"/>
    <w:rsid w:val="006B4FF4"/>
    <w:rsid w:val="006C38E1"/>
    <w:rsid w:val="006C4DC6"/>
    <w:rsid w:val="006C6F70"/>
    <w:rsid w:val="006D1EE3"/>
    <w:rsid w:val="006D1F04"/>
    <w:rsid w:val="006D3085"/>
    <w:rsid w:val="006D3F3D"/>
    <w:rsid w:val="006E1EF0"/>
    <w:rsid w:val="006E2021"/>
    <w:rsid w:val="006E560A"/>
    <w:rsid w:val="006F37F1"/>
    <w:rsid w:val="006F3BDE"/>
    <w:rsid w:val="006F4C53"/>
    <w:rsid w:val="00705664"/>
    <w:rsid w:val="00705AE3"/>
    <w:rsid w:val="00707812"/>
    <w:rsid w:val="0071074F"/>
    <w:rsid w:val="0071511D"/>
    <w:rsid w:val="00721AAA"/>
    <w:rsid w:val="00722092"/>
    <w:rsid w:val="007231B5"/>
    <w:rsid w:val="00735329"/>
    <w:rsid w:val="00737B5A"/>
    <w:rsid w:val="00743835"/>
    <w:rsid w:val="0074797A"/>
    <w:rsid w:val="00747D57"/>
    <w:rsid w:val="00751632"/>
    <w:rsid w:val="007530B3"/>
    <w:rsid w:val="007550EC"/>
    <w:rsid w:val="0075719D"/>
    <w:rsid w:val="00761198"/>
    <w:rsid w:val="00761FB9"/>
    <w:rsid w:val="00763774"/>
    <w:rsid w:val="00766359"/>
    <w:rsid w:val="007670AA"/>
    <w:rsid w:val="007738C1"/>
    <w:rsid w:val="0077411E"/>
    <w:rsid w:val="00774F0D"/>
    <w:rsid w:val="0078136B"/>
    <w:rsid w:val="00782261"/>
    <w:rsid w:val="00787B0C"/>
    <w:rsid w:val="00794A06"/>
    <w:rsid w:val="00796E3D"/>
    <w:rsid w:val="007971FF"/>
    <w:rsid w:val="007B0D28"/>
    <w:rsid w:val="007B12B6"/>
    <w:rsid w:val="007B16B6"/>
    <w:rsid w:val="007C2E71"/>
    <w:rsid w:val="007C72EF"/>
    <w:rsid w:val="007C7893"/>
    <w:rsid w:val="007C7CB2"/>
    <w:rsid w:val="007D4000"/>
    <w:rsid w:val="007D4F82"/>
    <w:rsid w:val="007D7DCB"/>
    <w:rsid w:val="007E1847"/>
    <w:rsid w:val="007E4BDF"/>
    <w:rsid w:val="007F0FF1"/>
    <w:rsid w:val="007F219A"/>
    <w:rsid w:val="0080758B"/>
    <w:rsid w:val="00810BD8"/>
    <w:rsid w:val="00813D89"/>
    <w:rsid w:val="008142C6"/>
    <w:rsid w:val="00816E8D"/>
    <w:rsid w:val="00824E03"/>
    <w:rsid w:val="0083354D"/>
    <w:rsid w:val="00836555"/>
    <w:rsid w:val="0083752A"/>
    <w:rsid w:val="00837594"/>
    <w:rsid w:val="00841298"/>
    <w:rsid w:val="00842195"/>
    <w:rsid w:val="008440DC"/>
    <w:rsid w:val="00844FA3"/>
    <w:rsid w:val="00847C06"/>
    <w:rsid w:val="00847C88"/>
    <w:rsid w:val="00857505"/>
    <w:rsid w:val="00857725"/>
    <w:rsid w:val="008577C9"/>
    <w:rsid w:val="00866081"/>
    <w:rsid w:val="00866219"/>
    <w:rsid w:val="00871108"/>
    <w:rsid w:val="008717BD"/>
    <w:rsid w:val="00877954"/>
    <w:rsid w:val="00882544"/>
    <w:rsid w:val="00887EE7"/>
    <w:rsid w:val="00895ED2"/>
    <w:rsid w:val="00896B70"/>
    <w:rsid w:val="008A10EF"/>
    <w:rsid w:val="008A1C28"/>
    <w:rsid w:val="008A1DE4"/>
    <w:rsid w:val="008A206F"/>
    <w:rsid w:val="008B0247"/>
    <w:rsid w:val="008B655A"/>
    <w:rsid w:val="008B6869"/>
    <w:rsid w:val="008B7A2C"/>
    <w:rsid w:val="008C095F"/>
    <w:rsid w:val="008C1D12"/>
    <w:rsid w:val="008C3AFB"/>
    <w:rsid w:val="008D2029"/>
    <w:rsid w:val="008D3CBC"/>
    <w:rsid w:val="008D47C9"/>
    <w:rsid w:val="008D56FF"/>
    <w:rsid w:val="008E3628"/>
    <w:rsid w:val="008E78AF"/>
    <w:rsid w:val="008F613D"/>
    <w:rsid w:val="0091658D"/>
    <w:rsid w:val="009215E4"/>
    <w:rsid w:val="00930187"/>
    <w:rsid w:val="009302D2"/>
    <w:rsid w:val="00935526"/>
    <w:rsid w:val="00950037"/>
    <w:rsid w:val="00953CB4"/>
    <w:rsid w:val="00957048"/>
    <w:rsid w:val="009571B0"/>
    <w:rsid w:val="00974E85"/>
    <w:rsid w:val="009819BC"/>
    <w:rsid w:val="0098241D"/>
    <w:rsid w:val="0098302C"/>
    <w:rsid w:val="00986240"/>
    <w:rsid w:val="00991650"/>
    <w:rsid w:val="00991CC9"/>
    <w:rsid w:val="00993A11"/>
    <w:rsid w:val="00993B1D"/>
    <w:rsid w:val="00997949"/>
    <w:rsid w:val="009A1FE6"/>
    <w:rsid w:val="009A2D97"/>
    <w:rsid w:val="009A3AB0"/>
    <w:rsid w:val="009B1B6A"/>
    <w:rsid w:val="009C0155"/>
    <w:rsid w:val="009C5394"/>
    <w:rsid w:val="009C7381"/>
    <w:rsid w:val="009E4ABF"/>
    <w:rsid w:val="009F0DA5"/>
    <w:rsid w:val="009F1203"/>
    <w:rsid w:val="009F1F34"/>
    <w:rsid w:val="009F259A"/>
    <w:rsid w:val="009F3730"/>
    <w:rsid w:val="009F690F"/>
    <w:rsid w:val="00A01005"/>
    <w:rsid w:val="00A04D30"/>
    <w:rsid w:val="00A10FAD"/>
    <w:rsid w:val="00A1350D"/>
    <w:rsid w:val="00A1577D"/>
    <w:rsid w:val="00A16E00"/>
    <w:rsid w:val="00A23FD1"/>
    <w:rsid w:val="00A25200"/>
    <w:rsid w:val="00A25B9B"/>
    <w:rsid w:val="00A361A1"/>
    <w:rsid w:val="00A3629D"/>
    <w:rsid w:val="00A36C7C"/>
    <w:rsid w:val="00A415EC"/>
    <w:rsid w:val="00A417CA"/>
    <w:rsid w:val="00A46443"/>
    <w:rsid w:val="00A46FF0"/>
    <w:rsid w:val="00A472C7"/>
    <w:rsid w:val="00A4752B"/>
    <w:rsid w:val="00A51A8E"/>
    <w:rsid w:val="00A52BE8"/>
    <w:rsid w:val="00A54707"/>
    <w:rsid w:val="00A5749D"/>
    <w:rsid w:val="00A623D4"/>
    <w:rsid w:val="00A62FFE"/>
    <w:rsid w:val="00A63C5E"/>
    <w:rsid w:val="00A650FE"/>
    <w:rsid w:val="00A65EFA"/>
    <w:rsid w:val="00A67C3C"/>
    <w:rsid w:val="00A727A9"/>
    <w:rsid w:val="00A737FF"/>
    <w:rsid w:val="00A73DF4"/>
    <w:rsid w:val="00A77892"/>
    <w:rsid w:val="00A84CFD"/>
    <w:rsid w:val="00A868B2"/>
    <w:rsid w:val="00A868F1"/>
    <w:rsid w:val="00A90364"/>
    <w:rsid w:val="00A92256"/>
    <w:rsid w:val="00A92892"/>
    <w:rsid w:val="00A9329B"/>
    <w:rsid w:val="00A94104"/>
    <w:rsid w:val="00A96868"/>
    <w:rsid w:val="00A97301"/>
    <w:rsid w:val="00AA2AC6"/>
    <w:rsid w:val="00AA74CA"/>
    <w:rsid w:val="00AB2191"/>
    <w:rsid w:val="00AB29FA"/>
    <w:rsid w:val="00AB720D"/>
    <w:rsid w:val="00AC621E"/>
    <w:rsid w:val="00AD38E1"/>
    <w:rsid w:val="00AD549D"/>
    <w:rsid w:val="00AE6A3A"/>
    <w:rsid w:val="00AE6C5A"/>
    <w:rsid w:val="00AE730B"/>
    <w:rsid w:val="00AF52CC"/>
    <w:rsid w:val="00AF72BD"/>
    <w:rsid w:val="00B003FA"/>
    <w:rsid w:val="00B02A8C"/>
    <w:rsid w:val="00B02C27"/>
    <w:rsid w:val="00B05ECF"/>
    <w:rsid w:val="00B06C3F"/>
    <w:rsid w:val="00B10FC7"/>
    <w:rsid w:val="00B15B9F"/>
    <w:rsid w:val="00B17862"/>
    <w:rsid w:val="00B23A17"/>
    <w:rsid w:val="00B24E76"/>
    <w:rsid w:val="00B321D7"/>
    <w:rsid w:val="00B32296"/>
    <w:rsid w:val="00B34372"/>
    <w:rsid w:val="00B354A9"/>
    <w:rsid w:val="00B37219"/>
    <w:rsid w:val="00B422B7"/>
    <w:rsid w:val="00B5581F"/>
    <w:rsid w:val="00B604C7"/>
    <w:rsid w:val="00B6487B"/>
    <w:rsid w:val="00B709D2"/>
    <w:rsid w:val="00B81E2E"/>
    <w:rsid w:val="00B8610D"/>
    <w:rsid w:val="00B863B9"/>
    <w:rsid w:val="00B900A4"/>
    <w:rsid w:val="00B91A44"/>
    <w:rsid w:val="00B96660"/>
    <w:rsid w:val="00B96D54"/>
    <w:rsid w:val="00BA1F5B"/>
    <w:rsid w:val="00BA3300"/>
    <w:rsid w:val="00BA7CE2"/>
    <w:rsid w:val="00BB2352"/>
    <w:rsid w:val="00BB3185"/>
    <w:rsid w:val="00BC1B35"/>
    <w:rsid w:val="00BC1E95"/>
    <w:rsid w:val="00BC2A4D"/>
    <w:rsid w:val="00BC4FFF"/>
    <w:rsid w:val="00BC5B3E"/>
    <w:rsid w:val="00BD01AD"/>
    <w:rsid w:val="00BD55D1"/>
    <w:rsid w:val="00BE6135"/>
    <w:rsid w:val="00BF0DFF"/>
    <w:rsid w:val="00BF4F3B"/>
    <w:rsid w:val="00BF74E7"/>
    <w:rsid w:val="00C001F8"/>
    <w:rsid w:val="00C042F3"/>
    <w:rsid w:val="00C05756"/>
    <w:rsid w:val="00C06422"/>
    <w:rsid w:val="00C216D6"/>
    <w:rsid w:val="00C262A2"/>
    <w:rsid w:val="00C262C1"/>
    <w:rsid w:val="00C26742"/>
    <w:rsid w:val="00C44F92"/>
    <w:rsid w:val="00C50620"/>
    <w:rsid w:val="00C5617D"/>
    <w:rsid w:val="00C62183"/>
    <w:rsid w:val="00C67FFE"/>
    <w:rsid w:val="00C71398"/>
    <w:rsid w:val="00C737A5"/>
    <w:rsid w:val="00C73DE2"/>
    <w:rsid w:val="00C7427B"/>
    <w:rsid w:val="00C815A5"/>
    <w:rsid w:val="00C8772F"/>
    <w:rsid w:val="00C91D3D"/>
    <w:rsid w:val="00C9360D"/>
    <w:rsid w:val="00C96737"/>
    <w:rsid w:val="00C96A5A"/>
    <w:rsid w:val="00C96C22"/>
    <w:rsid w:val="00CB2573"/>
    <w:rsid w:val="00CB5664"/>
    <w:rsid w:val="00CC7278"/>
    <w:rsid w:val="00CD4988"/>
    <w:rsid w:val="00CD5189"/>
    <w:rsid w:val="00CE24AD"/>
    <w:rsid w:val="00CF4646"/>
    <w:rsid w:val="00D04B8E"/>
    <w:rsid w:val="00D113F7"/>
    <w:rsid w:val="00D123C1"/>
    <w:rsid w:val="00D14962"/>
    <w:rsid w:val="00D212DC"/>
    <w:rsid w:val="00D21709"/>
    <w:rsid w:val="00D22C1E"/>
    <w:rsid w:val="00D23771"/>
    <w:rsid w:val="00D3022C"/>
    <w:rsid w:val="00D3199F"/>
    <w:rsid w:val="00D31E7A"/>
    <w:rsid w:val="00D32F84"/>
    <w:rsid w:val="00D340EC"/>
    <w:rsid w:val="00D353E9"/>
    <w:rsid w:val="00D511E7"/>
    <w:rsid w:val="00D62C04"/>
    <w:rsid w:val="00D63B49"/>
    <w:rsid w:val="00D63FA1"/>
    <w:rsid w:val="00D64648"/>
    <w:rsid w:val="00D66C3E"/>
    <w:rsid w:val="00D7201D"/>
    <w:rsid w:val="00D85698"/>
    <w:rsid w:val="00D86165"/>
    <w:rsid w:val="00D879BE"/>
    <w:rsid w:val="00D921B8"/>
    <w:rsid w:val="00D95B9A"/>
    <w:rsid w:val="00DA0771"/>
    <w:rsid w:val="00DA359F"/>
    <w:rsid w:val="00DB19A1"/>
    <w:rsid w:val="00DB3336"/>
    <w:rsid w:val="00DB5051"/>
    <w:rsid w:val="00DC1A60"/>
    <w:rsid w:val="00DC2B05"/>
    <w:rsid w:val="00DC5C8B"/>
    <w:rsid w:val="00DD10CE"/>
    <w:rsid w:val="00DD1B73"/>
    <w:rsid w:val="00DD300C"/>
    <w:rsid w:val="00DD40AD"/>
    <w:rsid w:val="00DE4CC0"/>
    <w:rsid w:val="00DF3F55"/>
    <w:rsid w:val="00DF6051"/>
    <w:rsid w:val="00DF65E3"/>
    <w:rsid w:val="00E005E6"/>
    <w:rsid w:val="00E00EE0"/>
    <w:rsid w:val="00E02813"/>
    <w:rsid w:val="00E041A0"/>
    <w:rsid w:val="00E04FF3"/>
    <w:rsid w:val="00E0745B"/>
    <w:rsid w:val="00E1169D"/>
    <w:rsid w:val="00E13BFE"/>
    <w:rsid w:val="00E21AA4"/>
    <w:rsid w:val="00E330B5"/>
    <w:rsid w:val="00E35B35"/>
    <w:rsid w:val="00E372BD"/>
    <w:rsid w:val="00E456F9"/>
    <w:rsid w:val="00E46868"/>
    <w:rsid w:val="00E47E92"/>
    <w:rsid w:val="00E47F43"/>
    <w:rsid w:val="00E576C4"/>
    <w:rsid w:val="00E63557"/>
    <w:rsid w:val="00E71F78"/>
    <w:rsid w:val="00E7643B"/>
    <w:rsid w:val="00E804FB"/>
    <w:rsid w:val="00E81EBE"/>
    <w:rsid w:val="00E927DC"/>
    <w:rsid w:val="00E92D3A"/>
    <w:rsid w:val="00EA032D"/>
    <w:rsid w:val="00EA71E2"/>
    <w:rsid w:val="00EA72C8"/>
    <w:rsid w:val="00EB564A"/>
    <w:rsid w:val="00EB58F7"/>
    <w:rsid w:val="00EB5AFD"/>
    <w:rsid w:val="00EC015B"/>
    <w:rsid w:val="00EC4AD7"/>
    <w:rsid w:val="00EC5E3F"/>
    <w:rsid w:val="00ED17F3"/>
    <w:rsid w:val="00ED1BB9"/>
    <w:rsid w:val="00ED2D57"/>
    <w:rsid w:val="00ED685F"/>
    <w:rsid w:val="00EE1684"/>
    <w:rsid w:val="00EE2AE0"/>
    <w:rsid w:val="00EE6900"/>
    <w:rsid w:val="00EE6A8B"/>
    <w:rsid w:val="00EE74EB"/>
    <w:rsid w:val="00EF0D17"/>
    <w:rsid w:val="00EF373C"/>
    <w:rsid w:val="00EF5726"/>
    <w:rsid w:val="00F12B65"/>
    <w:rsid w:val="00F15DE9"/>
    <w:rsid w:val="00F16338"/>
    <w:rsid w:val="00F1717F"/>
    <w:rsid w:val="00F24595"/>
    <w:rsid w:val="00F255FA"/>
    <w:rsid w:val="00F26557"/>
    <w:rsid w:val="00F36371"/>
    <w:rsid w:val="00F36ABB"/>
    <w:rsid w:val="00F51F74"/>
    <w:rsid w:val="00F53732"/>
    <w:rsid w:val="00F557A4"/>
    <w:rsid w:val="00F62E18"/>
    <w:rsid w:val="00F641EF"/>
    <w:rsid w:val="00F6420B"/>
    <w:rsid w:val="00F70198"/>
    <w:rsid w:val="00F72549"/>
    <w:rsid w:val="00F77F49"/>
    <w:rsid w:val="00F80972"/>
    <w:rsid w:val="00F80BC8"/>
    <w:rsid w:val="00F84D42"/>
    <w:rsid w:val="00F87EB4"/>
    <w:rsid w:val="00F90943"/>
    <w:rsid w:val="00F9615C"/>
    <w:rsid w:val="00FA0AE8"/>
    <w:rsid w:val="00FA1548"/>
    <w:rsid w:val="00FA209A"/>
    <w:rsid w:val="00FA3FE2"/>
    <w:rsid w:val="00FB1159"/>
    <w:rsid w:val="00FB156D"/>
    <w:rsid w:val="00FB348A"/>
    <w:rsid w:val="00FB607E"/>
    <w:rsid w:val="00FC3864"/>
    <w:rsid w:val="00FC600D"/>
    <w:rsid w:val="00FC6375"/>
    <w:rsid w:val="00FC66D8"/>
    <w:rsid w:val="00FC766B"/>
    <w:rsid w:val="00FD0470"/>
    <w:rsid w:val="00FD05B0"/>
    <w:rsid w:val="00FD3538"/>
    <w:rsid w:val="00FD3789"/>
    <w:rsid w:val="00FD3B59"/>
    <w:rsid w:val="00FD3CA7"/>
    <w:rsid w:val="00FD5C45"/>
    <w:rsid w:val="00FE4635"/>
    <w:rsid w:val="00FE6899"/>
    <w:rsid w:val="00FF0E9C"/>
    <w:rsid w:val="00FF2B2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632"/>
    <w:pPr>
      <w:spacing w:after="0" w:line="240" w:lineRule="auto"/>
    </w:pPr>
    <w:rPr>
      <w:rFonts w:ascii="Times New Roman" w:eastAsia="Times New Roman" w:hAnsi="Times New Roman" w:cs="Times New Roman"/>
      <w:sz w:val="24"/>
      <w:szCs w:val="24"/>
      <w:lang w:eastAsia="fr-FR"/>
    </w:rPr>
  </w:style>
  <w:style w:type="paragraph" w:styleId="Titre2">
    <w:name w:val="heading 2"/>
    <w:basedOn w:val="Normal"/>
    <w:next w:val="Normal"/>
    <w:link w:val="Titre2Car"/>
    <w:uiPriority w:val="9"/>
    <w:semiHidden/>
    <w:unhideWhenUsed/>
    <w:qFormat/>
    <w:rsid w:val="00751632"/>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51632"/>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semiHidden/>
    <w:rsid w:val="00751632"/>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semiHidden/>
    <w:rsid w:val="00751632"/>
    <w:rPr>
      <w:rFonts w:asciiTheme="majorHAnsi" w:eastAsiaTheme="majorEastAsia" w:hAnsiTheme="majorHAnsi" w:cstheme="majorBidi"/>
      <w:b/>
      <w:bCs/>
      <w:color w:val="4F81BD" w:themeColor="accent1"/>
      <w:lang w:eastAsia="fr-FR"/>
    </w:rPr>
  </w:style>
  <w:style w:type="character" w:styleId="Lienhypertexte">
    <w:name w:val="Hyperlink"/>
    <w:basedOn w:val="Policepardfaut"/>
    <w:uiPriority w:val="99"/>
    <w:semiHidden/>
    <w:unhideWhenUsed/>
    <w:rsid w:val="00751632"/>
    <w:rPr>
      <w:color w:val="0000FF"/>
      <w:u w:val="single"/>
    </w:rPr>
  </w:style>
  <w:style w:type="paragraph" w:customStyle="1" w:styleId="paragraphe">
    <w:name w:val="paragraphe"/>
    <w:basedOn w:val="Normal"/>
    <w:rsid w:val="00751632"/>
    <w:pPr>
      <w:spacing w:before="100" w:beforeAutospacing="1" w:after="100" w:afterAutospacing="1"/>
    </w:pPr>
  </w:style>
  <w:style w:type="character" w:styleId="lev">
    <w:name w:val="Strong"/>
    <w:basedOn w:val="Policepardfaut"/>
    <w:uiPriority w:val="22"/>
    <w:qFormat/>
    <w:rsid w:val="00751632"/>
    <w:rPr>
      <w:b/>
      <w:bCs/>
    </w:rPr>
  </w:style>
  <w:style w:type="paragraph" w:styleId="NormalWeb">
    <w:name w:val="Normal (Web)"/>
    <w:basedOn w:val="Normal"/>
    <w:uiPriority w:val="99"/>
    <w:semiHidden/>
    <w:unhideWhenUsed/>
    <w:rsid w:val="00751632"/>
    <w:pPr>
      <w:spacing w:before="100" w:beforeAutospacing="1" w:after="100" w:afterAutospacing="1"/>
    </w:pPr>
  </w:style>
  <w:style w:type="paragraph" w:styleId="Sansinterligne">
    <w:name w:val="No Spacing"/>
    <w:uiPriority w:val="1"/>
    <w:qFormat/>
    <w:rsid w:val="00DF3F55"/>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2</Pages>
  <Words>800</Words>
  <Characters>4404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SPIRIT LOGISTICS</dc:creator>
  <cp:keywords/>
  <dc:description/>
  <cp:lastModifiedBy>SPIRIT LOGISTICS</cp:lastModifiedBy>
  <cp:revision>24</cp:revision>
  <dcterms:created xsi:type="dcterms:W3CDTF">2018-05-16T01:12:00Z</dcterms:created>
  <dcterms:modified xsi:type="dcterms:W3CDTF">2020-04-18T11:51:00Z</dcterms:modified>
</cp:coreProperties>
</file>